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Green Nanotechnology and Ecotoxicology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A1209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1209D">
              <w:rPr>
                <w:rFonts w:asciiTheme="majorHAnsi" w:hAnsiTheme="majorHAnsi" w:cs="Arial"/>
                <w:b/>
                <w:sz w:val="18"/>
                <w:szCs w:val="18"/>
              </w:rPr>
              <w:t>GNAE</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B0058">
                    <w:rPr>
                      <w:rFonts w:asciiTheme="majorHAnsi" w:hAnsiTheme="majorHAnsi" w:cs="Arial"/>
                      <w:b/>
                      <w:sz w:val="18"/>
                      <w:szCs w:val="18"/>
                    </w:rPr>
                  </w:r>
                  <w:r w:rsidR="000B0058">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Pr>
                <w:rFonts w:asciiTheme="majorHAnsi" w:hAnsiTheme="majorHAnsi" w:cs="Arial"/>
                <w:b/>
                <w:sz w:val="18"/>
                <w:szCs w:val="18"/>
              </w:rPr>
              <w:t>85,42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7736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Pr>
                <w:rFonts w:asciiTheme="majorHAnsi" w:hAnsiTheme="majorHAnsi" w:cs="Arial"/>
                <w:b/>
                <w:sz w:val="18"/>
                <w:szCs w:val="18"/>
              </w:rPr>
              <w:t>119,12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977362">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sidRPr="00977362">
              <w:rPr>
                <w:rFonts w:asciiTheme="majorHAnsi" w:hAnsiTheme="majorHAnsi" w:cs="Arial"/>
                <w:b/>
                <w:sz w:val="18"/>
                <w:szCs w:val="18"/>
              </w:rPr>
              <w:t>Chemistry / Chemistry / Specialization</w:t>
            </w:r>
            <w:r w:rsidR="00977362">
              <w:rPr>
                <w:rFonts w:asciiTheme="majorHAnsi" w:hAnsiTheme="majorHAnsi" w:cs="Arial"/>
                <w:b/>
                <w:sz w:val="18"/>
                <w:szCs w:val="18"/>
              </w:rPr>
              <w:t xml:space="preserve"> </w:t>
            </w:r>
            <w:r w:rsidR="00977362" w:rsidRPr="00977362">
              <w:rPr>
                <w:rFonts w:asciiTheme="majorHAnsi" w:hAnsiTheme="majorHAnsi" w:cs="Arial"/>
                <w:b/>
                <w:sz w:val="18"/>
                <w:szCs w:val="18"/>
              </w:rPr>
              <w:t xml:space="preserve">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Nadira Ibrišimović Mehmedinović</w:t>
            </w:r>
            <w:r w:rsidR="00977362">
              <w:rPr>
                <w:rFonts w:asciiTheme="majorHAnsi" w:hAnsiTheme="majorHAnsi" w:cs="Arial"/>
                <w:b/>
                <w:sz w:val="18"/>
                <w:szCs w:val="18"/>
              </w:rPr>
              <w:t xml:space="preserve">, </w:t>
            </w:r>
            <w:r w:rsidR="00977362" w:rsidRPr="00977362">
              <w:rPr>
                <w:rFonts w:asciiTheme="majorHAnsi" w:hAnsiTheme="majorHAnsi" w:cs="Arial"/>
                <w:b/>
                <w:sz w:val="18"/>
                <w:szCs w:val="18"/>
              </w:rPr>
              <w:t>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sidRPr="00977362">
              <w:rPr>
                <w:rFonts w:asciiTheme="majorHAnsi" w:hAnsiTheme="majorHAnsi" w:cs="Arial"/>
                <w:b/>
                <w:sz w:val="18"/>
                <w:szCs w:val="18"/>
              </w:rPr>
              <w:t xml:space="preserve">Acquisition of theoretical and practical knowledge on the principles and application of responsible development in accordance with the principles of green chemistry and green nanotechnology, as well as basic knowledge of chemical </w:t>
            </w:r>
            <w:r w:rsidR="00977362" w:rsidRPr="00977362">
              <w:rPr>
                <w:rFonts w:asciiTheme="majorHAnsi" w:hAnsiTheme="majorHAnsi" w:cs="Arial"/>
                <w:b/>
                <w:sz w:val="18"/>
                <w:szCs w:val="18"/>
              </w:rPr>
              <w:lastRenderedPageBreak/>
              <w:t>toxicology and methods for isolating poisons from toxicological materials.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Upon successful completion of the course, the student is able to apply the acquired knowledge and skills in the field of green nanotechnology and toxicology.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77362" w:rsidRPr="00977362"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sidRPr="00977362">
              <w:rPr>
                <w:rFonts w:asciiTheme="majorHAnsi" w:hAnsiTheme="majorHAnsi" w:cs="Arial"/>
                <w:b/>
                <w:sz w:val="18"/>
                <w:szCs w:val="18"/>
              </w:rPr>
              <w:t>Green chemistry / green production / green nanotechnology. Application of nanotechnology for green innovations. Green innovations through nanotechnology: responsible development. Synthesis of metal nanoparticles using traditional physical and chemical methods.</w:t>
            </w:r>
          </w:p>
          <w:p w:rsidR="00CB72ED" w:rsidRPr="00B96B4F"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Organization and role of the toxicological-chemical laboratory. Samples and sampling of materials for toxicological-chemical analysis: air, water, soil, biological material. Methods for isolating poisons from toxicological material. Gaseous poisons: carbon monoxide, carbon dioxide, hydrogen sulfide, sulfur dioxide, etc. Volatile poisons: hydrocyanic acid and cyanides, etc.; organic solvents: ethyl alcohol, methyl alcohol, glycols, benzene, etc. Mineral poisons: arsenic, antimony, mercury. Fundamentals of radiotoxicology. Natural poisons: alkaloids, glycosides and other plant toxins. Pesticides. The most important drugs causing poisoning. Substances causing addiction.</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77362" w:rsidRPr="00977362">
              <w:rPr>
                <w:rFonts w:asciiTheme="majorHAnsi" w:hAnsiTheme="majorHAnsi" w:cs="Arial"/>
                <w:b/>
                <w:sz w:val="18"/>
                <w:szCs w:val="18"/>
              </w:rPr>
              <w:t>Lectures by the instructor, discussion and consultations between the student and the course instructor, and individual preparation of the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77362" w:rsidRPr="00977362"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Student assessment is carried out using the following methods: tests – midterm examinations, seminar paper, and final examination.</w:t>
            </w:r>
          </w:p>
          <w:p w:rsidR="00977362" w:rsidRPr="00977362" w:rsidRDefault="00977362" w:rsidP="00977362">
            <w:pPr>
              <w:pStyle w:val="NoSpacing"/>
              <w:rPr>
                <w:rFonts w:asciiTheme="majorHAnsi" w:hAnsiTheme="majorHAnsi" w:cs="Arial"/>
                <w:b/>
                <w:sz w:val="18"/>
                <w:szCs w:val="18"/>
              </w:rPr>
            </w:pPr>
            <w:r>
              <w:rPr>
                <w:rFonts w:asciiTheme="majorHAnsi" w:hAnsiTheme="majorHAnsi" w:cs="Arial"/>
                <w:b/>
                <w:sz w:val="18"/>
                <w:szCs w:val="18"/>
              </w:rPr>
              <w:t>-</w:t>
            </w:r>
            <w:r w:rsidRPr="00977362">
              <w:rPr>
                <w:rFonts w:asciiTheme="majorHAnsi" w:hAnsiTheme="majorHAnsi" w:cs="Arial"/>
                <w:b/>
                <w:sz w:val="18"/>
                <w:szCs w:val="18"/>
              </w:rPr>
              <w:t xml:space="preserve">Student activity during lectures: maximum 5 points </w:t>
            </w:r>
          </w:p>
          <w:p w:rsidR="00977362" w:rsidRPr="00977362" w:rsidRDefault="00977362" w:rsidP="00977362">
            <w:pPr>
              <w:pStyle w:val="NoSpacing"/>
              <w:rPr>
                <w:rFonts w:asciiTheme="majorHAnsi" w:hAnsiTheme="majorHAnsi" w:cs="Arial"/>
                <w:b/>
                <w:sz w:val="18"/>
                <w:szCs w:val="18"/>
              </w:rPr>
            </w:pPr>
            <w:r>
              <w:rPr>
                <w:rFonts w:asciiTheme="majorHAnsi" w:hAnsiTheme="majorHAnsi" w:cs="Arial"/>
                <w:b/>
                <w:sz w:val="18"/>
                <w:szCs w:val="18"/>
              </w:rPr>
              <w:t>-</w:t>
            </w:r>
            <w:r w:rsidRPr="00977362">
              <w:rPr>
                <w:rFonts w:asciiTheme="majorHAnsi" w:hAnsiTheme="majorHAnsi" w:cs="Arial"/>
                <w:b/>
                <w:sz w:val="18"/>
                <w:szCs w:val="18"/>
              </w:rPr>
              <w:t xml:space="preserve">Two tests (first and second midterm examinations): maximum 2 × 20 points </w:t>
            </w:r>
          </w:p>
          <w:p w:rsidR="00977362" w:rsidRPr="00977362" w:rsidRDefault="00977362" w:rsidP="00977362">
            <w:pPr>
              <w:pStyle w:val="NoSpacing"/>
              <w:rPr>
                <w:rFonts w:asciiTheme="majorHAnsi" w:hAnsiTheme="majorHAnsi" w:cs="Arial"/>
                <w:b/>
                <w:sz w:val="18"/>
                <w:szCs w:val="18"/>
              </w:rPr>
            </w:pPr>
            <w:r>
              <w:rPr>
                <w:rFonts w:asciiTheme="majorHAnsi" w:hAnsiTheme="majorHAnsi" w:cs="Arial"/>
                <w:b/>
                <w:sz w:val="18"/>
                <w:szCs w:val="18"/>
              </w:rPr>
              <w:t>-</w:t>
            </w:r>
            <w:r w:rsidRPr="00977362">
              <w:rPr>
                <w:rFonts w:asciiTheme="majorHAnsi" w:hAnsiTheme="majorHAnsi" w:cs="Arial"/>
                <w:b/>
                <w:sz w:val="18"/>
                <w:szCs w:val="18"/>
              </w:rPr>
              <w:t xml:space="preserve">Seminar paper from the course area: 15 points </w:t>
            </w:r>
          </w:p>
          <w:p w:rsidR="00977362" w:rsidRPr="00977362" w:rsidRDefault="00977362" w:rsidP="00977362">
            <w:pPr>
              <w:pStyle w:val="NoSpacing"/>
              <w:rPr>
                <w:rFonts w:asciiTheme="majorHAnsi" w:hAnsiTheme="majorHAnsi" w:cs="Arial"/>
                <w:b/>
                <w:sz w:val="18"/>
                <w:szCs w:val="18"/>
              </w:rPr>
            </w:pPr>
            <w:r>
              <w:rPr>
                <w:rFonts w:asciiTheme="majorHAnsi" w:hAnsiTheme="majorHAnsi" w:cs="Arial"/>
                <w:b/>
                <w:sz w:val="18"/>
                <w:szCs w:val="18"/>
              </w:rPr>
              <w:t>-</w:t>
            </w:r>
            <w:r w:rsidRPr="00977362">
              <w:rPr>
                <w:rFonts w:asciiTheme="majorHAnsi" w:hAnsiTheme="majorHAnsi" w:cs="Arial"/>
                <w:b/>
                <w:sz w:val="18"/>
                <w:szCs w:val="18"/>
              </w:rPr>
              <w:t xml:space="preserve">Final examination: maximum 40 points </w:t>
            </w:r>
          </w:p>
          <w:p w:rsidR="00CB72ED" w:rsidRPr="00B96B4F"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To pass the course, the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77362" w:rsidRPr="00977362"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Pre-exam obligations: Tests: 40%; Seminar paper: 15%; Student activity: 5%</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Final exam: 40%.</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To pass the course, the student must achieve a minimum of 55 cumulative points.</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Grading system:</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Grade six (6): 55–64 points</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Grade seven (7): 65–74 points</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Grade eight (8): 75–84 points</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Grade nine (9): 85–94 points</w:t>
            </w:r>
          </w:p>
          <w:p w:rsidR="00CB72ED" w:rsidRPr="00B96B4F"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77362" w:rsidRPr="00977362" w:rsidRDefault="00607A6E" w:rsidP="0097736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1. OECD (2013-06-14), “Nanotechnology for Green Innovation”, OECD Science, Technology and Industry Policy Papers,</w:t>
            </w:r>
          </w:p>
          <w:p w:rsidR="00977362" w:rsidRPr="00977362"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 xml:space="preserve">No. 5, OECD Publishing, Paris. </w:t>
            </w:r>
          </w:p>
          <w:p w:rsidR="00CB72ED" w:rsidRPr="00B96B4F" w:rsidRDefault="00977362" w:rsidP="00977362">
            <w:pPr>
              <w:pStyle w:val="NoSpacing"/>
              <w:rPr>
                <w:rFonts w:asciiTheme="majorHAnsi" w:hAnsiTheme="majorHAnsi" w:cs="Arial"/>
                <w:b/>
                <w:sz w:val="18"/>
                <w:szCs w:val="18"/>
              </w:rPr>
            </w:pPr>
            <w:r w:rsidRPr="00977362">
              <w:rPr>
                <w:rFonts w:asciiTheme="majorHAnsi" w:hAnsiTheme="majorHAnsi" w:cs="Arial"/>
                <w:b/>
                <w:sz w:val="18"/>
                <w:szCs w:val="18"/>
              </w:rPr>
              <w:t>2. Fundamentals of Environmental and Toxicological Chemistry,  Fourth Edition, Stanley E. Manahan, 2013</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sidRPr="00977362">
              <w:rPr>
                <w:rFonts w:asciiTheme="majorHAnsi" w:hAnsiTheme="majorHAnsi" w:cs="Arial"/>
                <w:b/>
                <w:sz w:val="18"/>
                <w:szCs w:val="18"/>
              </w:rPr>
              <w:t>https://setac.onlinelibrary.wiley.com/journal/15528618?tabActivePane=undefined</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7362">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97736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77362">
              <w:rPr>
                <w:rFonts w:asciiTheme="majorHAnsi" w:hAnsiTheme="majorHAnsi" w:cs="Arial"/>
                <w:b/>
                <w:sz w:val="18"/>
                <w:szCs w:val="18"/>
              </w:rPr>
            </w:r>
            <w:r w:rsidRPr="00977362">
              <w:rPr>
                <w:rFonts w:asciiTheme="majorHAnsi" w:hAnsiTheme="majorHAnsi" w:cs="Arial"/>
                <w:b/>
                <w:sz w:val="18"/>
                <w:szCs w:val="18"/>
              </w:rPr>
              <w:fldChar w:fldCharType="separate"/>
            </w:r>
            <w:r w:rsidR="00FB48B6" w:rsidRPr="00977362">
              <w:rPr>
                <w:rFonts w:asciiTheme="majorHAnsi" w:hAnsiTheme="majorHAnsi" w:cs="Arial"/>
                <w:b/>
                <w:spacing w:val="215"/>
                <w:sz w:val="18"/>
                <w:szCs w:val="18"/>
              </w:rPr>
              <w:t>    </w:t>
            </w:r>
            <w:r w:rsidR="00FB48B6" w:rsidRPr="00977362">
              <w:rPr>
                <w:rFonts w:asciiTheme="majorHAnsi" w:hAnsiTheme="majorHAnsi" w:cs="Arial"/>
                <w:b/>
                <w:spacing w:val="3"/>
                <w:sz w:val="18"/>
                <w:szCs w:val="18"/>
              </w:rPr>
              <w:t> </w:t>
            </w:r>
            <w:r w:rsidRPr="00977362">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058" w:rsidRDefault="000B0058">
      <w:pPr>
        <w:spacing w:line="240" w:lineRule="auto"/>
      </w:pPr>
      <w:r>
        <w:separator/>
      </w:r>
    </w:p>
  </w:endnote>
  <w:endnote w:type="continuationSeparator" w:id="0">
    <w:p w:rsidR="000B0058" w:rsidRDefault="000B00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A1209D">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1209D">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1209D">
            <w:rPr>
              <w:rFonts w:ascii="Cambria" w:hAnsi="Cambria" w:cs="Calibri"/>
              <w:noProof/>
              <w:sz w:val="16"/>
              <w:szCs w:val="16"/>
            </w:rPr>
            <w:t>3</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058" w:rsidRDefault="000B0058">
      <w:pPr>
        <w:spacing w:after="0"/>
      </w:pPr>
      <w:r>
        <w:separator/>
      </w:r>
    </w:p>
  </w:footnote>
  <w:footnote w:type="continuationSeparator" w:id="0">
    <w:p w:rsidR="000B0058" w:rsidRDefault="000B00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058"/>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48C5"/>
    <w:rsid w:val="009559DE"/>
    <w:rsid w:val="0095666B"/>
    <w:rsid w:val="00960595"/>
    <w:rsid w:val="0096591F"/>
    <w:rsid w:val="00965ECC"/>
    <w:rsid w:val="00966BC4"/>
    <w:rsid w:val="00971EFD"/>
    <w:rsid w:val="00972824"/>
    <w:rsid w:val="009737A8"/>
    <w:rsid w:val="00976AAD"/>
    <w:rsid w:val="00977362"/>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09D"/>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E7A45-B1E5-42B0-B06E-BA75FEF12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BADAD-20BC-484D-BFD6-60415549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21</cp:revision>
  <cp:lastPrinted>2024-03-25T13:56:00Z</cp:lastPrinted>
  <dcterms:created xsi:type="dcterms:W3CDTF">2024-03-25T12:55:00Z</dcterms:created>
  <dcterms:modified xsi:type="dcterms:W3CDTF">2026-04-27T11:08:00Z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